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51DA" w14:textId="77777777" w:rsidR="007902D2" w:rsidRDefault="007902D2" w:rsidP="00D04A3C">
      <w:pPr>
        <w:pStyle w:val="Series"/>
      </w:pPr>
    </w:p>
    <w:p w14:paraId="74930DD4" w14:textId="77777777" w:rsidR="007902D2" w:rsidRDefault="007902D2" w:rsidP="00D04A3C">
      <w:pPr>
        <w:pStyle w:val="Series"/>
      </w:pPr>
    </w:p>
    <w:p w14:paraId="488684F6" w14:textId="77777777" w:rsidR="0020532E" w:rsidRDefault="0020532E" w:rsidP="0020532E">
      <w:pPr>
        <w:pStyle w:val="Series"/>
        <w:spacing w:after="0"/>
        <w:rPr>
          <w:color w:val="197C7D"/>
        </w:rPr>
      </w:pPr>
      <w:r>
        <w:rPr>
          <w:color w:val="197C7D"/>
        </w:rPr>
        <w:t>Safeguard Mechanism reform consultation</w:t>
      </w:r>
      <w:r w:rsidR="003114BE">
        <w:rPr>
          <w:color w:val="197C7D"/>
        </w:rPr>
        <w:t xml:space="preserve"> -</w:t>
      </w:r>
      <w:r>
        <w:rPr>
          <w:color w:val="197C7D"/>
        </w:rPr>
        <w:t xml:space="preserve"> factsheet 7</w:t>
      </w:r>
    </w:p>
    <w:p w14:paraId="6BA7B073" w14:textId="77777777" w:rsidR="007902D2" w:rsidRDefault="007902D2" w:rsidP="007902D2">
      <w:pPr>
        <w:pStyle w:val="Series"/>
        <w:spacing w:before="40"/>
        <w:rPr>
          <w:color w:val="197C7D"/>
          <w:sz w:val="24"/>
          <w:szCs w:val="24"/>
        </w:rPr>
      </w:pPr>
      <w:r>
        <w:rPr>
          <w:color w:val="197C7D"/>
          <w:sz w:val="24"/>
          <w:szCs w:val="24"/>
        </w:rPr>
        <w:t>January 2023</w:t>
      </w:r>
    </w:p>
    <w:p w14:paraId="1B2918E0" w14:textId="77777777" w:rsidR="00B82095" w:rsidRPr="003114BE" w:rsidRDefault="0099578A" w:rsidP="00B56D03">
      <w:pPr>
        <w:pStyle w:val="Heading1"/>
        <w:rPr>
          <w:rFonts w:eastAsiaTheme="minorEastAsia"/>
          <w:color w:val="197C7D" w:themeColor="text2"/>
          <w:spacing w:val="0"/>
          <w:kern w:val="0"/>
          <w:sz w:val="36"/>
          <w:szCs w:val="36"/>
          <w:lang w:eastAsia="ja-JP"/>
        </w:rPr>
      </w:pPr>
      <w:r w:rsidRPr="003114BE">
        <w:rPr>
          <w:rFonts w:eastAsiaTheme="minorEastAsia"/>
          <w:color w:val="197C7D" w:themeColor="text2"/>
          <w:spacing w:val="0"/>
          <w:kern w:val="0"/>
          <w:sz w:val="36"/>
          <w:szCs w:val="36"/>
          <w:lang w:eastAsia="ja-JP"/>
        </w:rPr>
        <w:t>F</w:t>
      </w:r>
      <w:r w:rsidR="004E622F" w:rsidRPr="003114BE">
        <w:rPr>
          <w:rFonts w:eastAsiaTheme="minorEastAsia"/>
          <w:color w:val="197C7D" w:themeColor="text2"/>
          <w:spacing w:val="0"/>
          <w:kern w:val="0"/>
          <w:sz w:val="36"/>
          <w:szCs w:val="36"/>
          <w:lang w:eastAsia="ja-JP"/>
        </w:rPr>
        <w:t>lexibility m</w:t>
      </w:r>
      <w:r w:rsidRPr="003114BE">
        <w:rPr>
          <w:rFonts w:eastAsiaTheme="minorEastAsia"/>
          <w:color w:val="197C7D" w:themeColor="text2"/>
          <w:spacing w:val="0"/>
          <w:kern w:val="0"/>
          <w:sz w:val="36"/>
          <w:szCs w:val="36"/>
          <w:lang w:eastAsia="ja-JP"/>
        </w:rPr>
        <w:t>echanisms</w:t>
      </w:r>
      <w:r w:rsidR="00D07C94" w:rsidRPr="003114BE">
        <w:rPr>
          <w:rFonts w:eastAsiaTheme="minorEastAsia"/>
          <w:color w:val="197C7D" w:themeColor="text2"/>
          <w:spacing w:val="0"/>
          <w:kern w:val="0"/>
          <w:sz w:val="36"/>
          <w:szCs w:val="36"/>
          <w:lang w:eastAsia="ja-JP"/>
        </w:rPr>
        <w:t xml:space="preserve"> for meeting baselines</w:t>
      </w:r>
    </w:p>
    <w:p w14:paraId="12AC0ED6" w14:textId="77777777" w:rsidR="00115341" w:rsidRDefault="00D07C94" w:rsidP="00115341">
      <w:r w:rsidRPr="007902D2">
        <w:rPr>
          <w:i/>
          <w:color w:val="197C7D" w:themeColor="accent2"/>
        </w:rPr>
        <w:t xml:space="preserve">Flexibility mechanisms </w:t>
      </w:r>
      <w:r w:rsidR="00302237">
        <w:rPr>
          <w:i/>
          <w:color w:val="197C7D" w:themeColor="accent2"/>
        </w:rPr>
        <w:t>give</w:t>
      </w:r>
      <w:r w:rsidRPr="007902D2">
        <w:rPr>
          <w:i/>
          <w:color w:val="197C7D" w:themeColor="accent2"/>
        </w:rPr>
        <w:t xml:space="preserve"> businesses a variety of compliance options</w:t>
      </w:r>
      <w:r w:rsidR="00302237">
        <w:rPr>
          <w:i/>
          <w:color w:val="197C7D" w:themeColor="accent2"/>
        </w:rPr>
        <w:t>, helping</w:t>
      </w:r>
      <w:r w:rsidRPr="007902D2">
        <w:rPr>
          <w:i/>
          <w:color w:val="197C7D" w:themeColor="accent2"/>
        </w:rPr>
        <w:t xml:space="preserve"> reduce costs without jeopardising effectiveness</w:t>
      </w:r>
      <w:r w:rsidR="00302237">
        <w:rPr>
          <w:i/>
          <w:color w:val="197C7D" w:themeColor="accent2"/>
        </w:rPr>
        <w:t>—</w:t>
      </w:r>
      <w:r w:rsidRPr="007902D2">
        <w:rPr>
          <w:i/>
          <w:color w:val="197C7D" w:themeColor="accent2"/>
        </w:rPr>
        <w:t xml:space="preserve">that is, while </w:t>
      </w:r>
      <w:r w:rsidR="00302237">
        <w:rPr>
          <w:i/>
          <w:color w:val="197C7D" w:themeColor="accent2"/>
        </w:rPr>
        <w:t xml:space="preserve">still </w:t>
      </w:r>
      <w:r w:rsidRPr="007902D2">
        <w:rPr>
          <w:i/>
          <w:color w:val="197C7D" w:themeColor="accent2"/>
        </w:rPr>
        <w:t>ensuring the emissions target is met.</w:t>
      </w:r>
      <w:r w:rsidR="0072313D">
        <w:rPr>
          <w:i/>
          <w:color w:val="197C7D" w:themeColor="accent2"/>
        </w:rPr>
        <w:t xml:space="preserve"> </w:t>
      </w:r>
      <w:r w:rsidR="005C72BF" w:rsidRPr="0072313D">
        <w:rPr>
          <w:i/>
          <w:color w:val="197C7D" w:themeColor="accent2"/>
        </w:rPr>
        <w:t xml:space="preserve">Safeguard Mechanism reforms </w:t>
      </w:r>
      <w:r w:rsidR="004E50B9" w:rsidRPr="0072313D">
        <w:rPr>
          <w:i/>
          <w:color w:val="197C7D" w:themeColor="accent2"/>
        </w:rPr>
        <w:t xml:space="preserve">will include flexibility mechanisms </w:t>
      </w:r>
      <w:r w:rsidR="005C72BF" w:rsidRPr="0072313D">
        <w:rPr>
          <w:i/>
          <w:color w:val="197C7D" w:themeColor="accent2"/>
        </w:rPr>
        <w:t xml:space="preserve">to </w:t>
      </w:r>
      <w:r w:rsidR="00227598" w:rsidRPr="0072313D">
        <w:rPr>
          <w:i/>
          <w:color w:val="197C7D" w:themeColor="accent2"/>
        </w:rPr>
        <w:t xml:space="preserve">help </w:t>
      </w:r>
      <w:r w:rsidR="005C72BF" w:rsidRPr="0072313D">
        <w:rPr>
          <w:i/>
          <w:color w:val="197C7D" w:themeColor="accent2"/>
        </w:rPr>
        <w:t>facilities manage variability</w:t>
      </w:r>
      <w:r w:rsidR="00302237" w:rsidRPr="0072313D">
        <w:rPr>
          <w:i/>
          <w:color w:val="197C7D" w:themeColor="accent2"/>
        </w:rPr>
        <w:t xml:space="preserve"> in their emissions</w:t>
      </w:r>
      <w:r w:rsidR="003C4DE2" w:rsidRPr="0072313D">
        <w:rPr>
          <w:i/>
          <w:color w:val="197C7D" w:themeColor="accent2"/>
        </w:rPr>
        <w:t xml:space="preserve">, </w:t>
      </w:r>
      <w:r w:rsidR="00302237" w:rsidRPr="0072313D">
        <w:rPr>
          <w:i/>
          <w:color w:val="197C7D" w:themeColor="accent2"/>
        </w:rPr>
        <w:t xml:space="preserve">constraints on </w:t>
      </w:r>
      <w:r w:rsidR="003C4DE2" w:rsidRPr="0072313D">
        <w:rPr>
          <w:i/>
          <w:color w:val="197C7D" w:themeColor="accent2"/>
        </w:rPr>
        <w:t xml:space="preserve">technology availability </w:t>
      </w:r>
      <w:r w:rsidR="00302237" w:rsidRPr="0072313D">
        <w:rPr>
          <w:i/>
          <w:color w:val="197C7D" w:themeColor="accent2"/>
        </w:rPr>
        <w:t xml:space="preserve">and </w:t>
      </w:r>
      <w:r w:rsidR="003C4DE2" w:rsidRPr="0072313D">
        <w:rPr>
          <w:i/>
          <w:color w:val="197C7D" w:themeColor="accent2"/>
        </w:rPr>
        <w:t>price risks,</w:t>
      </w:r>
      <w:r w:rsidR="005C72BF" w:rsidRPr="0072313D">
        <w:rPr>
          <w:i/>
          <w:color w:val="197C7D" w:themeColor="accent2"/>
        </w:rPr>
        <w:t xml:space="preserve"> as</w:t>
      </w:r>
      <w:r w:rsidR="00302237" w:rsidRPr="0072313D">
        <w:rPr>
          <w:i/>
          <w:color w:val="197C7D" w:themeColor="accent2"/>
        </w:rPr>
        <w:t xml:space="preserve"> they </w:t>
      </w:r>
      <w:r w:rsidR="005C72BF" w:rsidRPr="0072313D">
        <w:rPr>
          <w:i/>
          <w:color w:val="197C7D" w:themeColor="accent2"/>
        </w:rPr>
        <w:t xml:space="preserve">transition to </w:t>
      </w:r>
      <w:r w:rsidR="00302237" w:rsidRPr="0072313D">
        <w:rPr>
          <w:i/>
          <w:color w:val="197C7D" w:themeColor="accent2"/>
        </w:rPr>
        <w:t>net zero</w:t>
      </w:r>
      <w:r w:rsidR="005C72BF" w:rsidRPr="0072313D">
        <w:rPr>
          <w:i/>
          <w:color w:val="197C7D" w:themeColor="accent2"/>
        </w:rPr>
        <w:t>.</w:t>
      </w:r>
      <w:r w:rsidR="00115341">
        <w:t xml:space="preserve"> </w:t>
      </w:r>
    </w:p>
    <w:p w14:paraId="6DC1E9D4" w14:textId="77777777" w:rsidR="002B3A22" w:rsidRPr="00257B01" w:rsidRDefault="00471963" w:rsidP="002B3A22">
      <w:pPr>
        <w:pStyle w:val="Heading2"/>
        <w:spacing w:before="240"/>
      </w:pPr>
      <w:r>
        <w:t>Crediting and trading</w:t>
      </w:r>
    </w:p>
    <w:p w14:paraId="43344BCC" w14:textId="77777777" w:rsidR="00F62EB3" w:rsidRDefault="00F31C00" w:rsidP="00F62EB3">
      <w:r>
        <w:t xml:space="preserve">Crediting and trading will be introduced to </w:t>
      </w:r>
      <w:r w:rsidR="00F62EB3">
        <w:t>encourage</w:t>
      </w:r>
      <w:r>
        <w:t xml:space="preserve"> abatement </w:t>
      </w:r>
      <w:r w:rsidR="00F62EB3">
        <w:t xml:space="preserve">to </w:t>
      </w:r>
      <w:r>
        <w:t xml:space="preserve">occur where it is cheapest. </w:t>
      </w:r>
      <w:r w:rsidRPr="00257B01">
        <w:t>Safeguard Mechanism Credits (S</w:t>
      </w:r>
      <w:r>
        <w:t xml:space="preserve">MCs) will be issued to </w:t>
      </w:r>
      <w:r w:rsidRPr="00257B01">
        <w:t xml:space="preserve">facilities </w:t>
      </w:r>
      <w:r>
        <w:t>with</w:t>
      </w:r>
      <w:r w:rsidRPr="00257B01">
        <w:t xml:space="preserve"> emissions below </w:t>
      </w:r>
      <w:r>
        <w:t>their</w:t>
      </w:r>
      <w:r w:rsidRPr="00257B01">
        <w:t xml:space="preserve"> baseline. </w:t>
      </w:r>
      <w:r>
        <w:t xml:space="preserve">SMCs can be traded between Safeguard facilities to encourage those with </w:t>
      </w:r>
      <w:proofErr w:type="gramStart"/>
      <w:r>
        <w:t>low cost</w:t>
      </w:r>
      <w:proofErr w:type="gramEnd"/>
      <w:r>
        <w:t xml:space="preserve"> abatement to do more. Those with more expensive abatement can buy credits</w:t>
      </w:r>
      <w:r w:rsidR="00F62EB3">
        <w:t>.</w:t>
      </w:r>
    </w:p>
    <w:p w14:paraId="484CAC99" w14:textId="77777777" w:rsidR="004D08E0" w:rsidRDefault="004D08E0" w:rsidP="004D08E0">
      <w:r>
        <w:t xml:space="preserve">SMCs are not ‘offsets’ as they are generated and traded within an overall limit on Safeguard facility emissions and can only be used within that framework. Therefore, concepts like ‘additionality’ are not relevant. </w:t>
      </w:r>
    </w:p>
    <w:p w14:paraId="40863B1B" w14:textId="77777777" w:rsidR="00943779" w:rsidRDefault="00471963" w:rsidP="004D08E0">
      <w:pPr>
        <w:pStyle w:val="Heading2"/>
        <w:spacing w:before="240"/>
        <w:ind w:left="0" w:firstLine="0"/>
      </w:pPr>
      <w:r>
        <w:t>Domestic offsets</w:t>
      </w:r>
    </w:p>
    <w:p w14:paraId="78964642" w14:textId="77777777" w:rsidR="00C90378" w:rsidRDefault="00F31C00" w:rsidP="00C90378">
      <w:r>
        <w:t>Safeguard facilities can buy and surrender carbon offsets, known as Australia</w:t>
      </w:r>
      <w:r w:rsidR="00DD15E2">
        <w:t>n</w:t>
      </w:r>
      <w:r>
        <w:t xml:space="preserve"> Carbon Credit Units (ACCUs). ACCUs</w:t>
      </w:r>
      <w:r w:rsidRPr="00EB4E45">
        <w:t xml:space="preserve"> represent measurable, verifiable </w:t>
      </w:r>
      <w:r>
        <w:t>abatement</w:t>
      </w:r>
      <w:r w:rsidRPr="00EB4E45">
        <w:t xml:space="preserve"> achieved by projects registered under </w:t>
      </w:r>
      <w:r>
        <w:t xml:space="preserve">the </w:t>
      </w:r>
      <w:r w:rsidRPr="003E5BE6">
        <w:rPr>
          <w:i/>
        </w:rPr>
        <w:t>Carbon Credits (Carbon Farming Initiative) Act 2011</w:t>
      </w:r>
      <w:r>
        <w:t>. This abatement</w:t>
      </w:r>
      <w:r w:rsidRPr="00EB4E45">
        <w:t xml:space="preserve"> is additional, meaning it would not have happened as part of business-as-usual activities.</w:t>
      </w:r>
      <w:r>
        <w:t xml:space="preserve"> </w:t>
      </w:r>
      <w:r w:rsidR="00C90378">
        <w:t xml:space="preserve">Implementing the recommendations of the </w:t>
      </w:r>
      <w:r w:rsidR="00DD15E2">
        <w:t xml:space="preserve">Independent Review </w:t>
      </w:r>
      <w:r w:rsidR="00C90378">
        <w:t xml:space="preserve">of ACCUs will ensure </w:t>
      </w:r>
      <w:r w:rsidR="0072313D">
        <w:t>its</w:t>
      </w:r>
      <w:r w:rsidR="00C90378">
        <w:t xml:space="preserve"> integrity.</w:t>
      </w:r>
    </w:p>
    <w:p w14:paraId="38124ECF" w14:textId="77777777" w:rsidR="007230BA" w:rsidRDefault="00F31C00" w:rsidP="007230BA">
      <w:r w:rsidRPr="00B955B0">
        <w:t>ACCUs</w:t>
      </w:r>
      <w:r>
        <w:t xml:space="preserve"> allow </w:t>
      </w:r>
      <w:r w:rsidRPr="00B955B0">
        <w:t xml:space="preserve">emissions </w:t>
      </w:r>
      <w:r>
        <w:t xml:space="preserve">reduction </w:t>
      </w:r>
      <w:r w:rsidRPr="00B955B0">
        <w:t xml:space="preserve">where it is cheapest and easiest, even if </w:t>
      </w:r>
      <w:r>
        <w:t>it</w:t>
      </w:r>
      <w:r w:rsidRPr="00B955B0">
        <w:t xml:space="preserve"> is outside the operations of regulated entities. Allowing </w:t>
      </w:r>
      <w:r>
        <w:t xml:space="preserve">the use of </w:t>
      </w:r>
      <w:r w:rsidRPr="00B955B0">
        <w:t xml:space="preserve">ACCUs within the Safeguard </w:t>
      </w:r>
      <w:r>
        <w:t>also</w:t>
      </w:r>
      <w:r w:rsidRPr="00B955B0">
        <w:t xml:space="preserve"> supports carbon farmers and other emission reduction efforts across the economy.</w:t>
      </w:r>
      <w:r>
        <w:t xml:space="preserve"> </w:t>
      </w:r>
      <w:r w:rsidR="007230BA">
        <w:t xml:space="preserve">To </w:t>
      </w:r>
      <w:r w:rsidR="00792E27">
        <w:t>ensure emissions reductions are only counted once</w:t>
      </w:r>
      <w:r w:rsidR="007230BA">
        <w:t xml:space="preserve">, </w:t>
      </w:r>
      <w:r w:rsidR="007230BA" w:rsidRPr="00E00DB1">
        <w:t>projects</w:t>
      </w:r>
      <w:r w:rsidR="007230BA">
        <w:t xml:space="preserve"> that reduce </w:t>
      </w:r>
      <w:r w:rsidR="00792E27">
        <w:t xml:space="preserve">covered </w:t>
      </w:r>
      <w:r w:rsidR="007230BA">
        <w:t xml:space="preserve">emissions at Safeguard facilities will no longer be able to create ACCUs. </w:t>
      </w:r>
    </w:p>
    <w:p w14:paraId="3166265A" w14:textId="77777777" w:rsidR="00257B01" w:rsidRPr="00257B01" w:rsidRDefault="00257B01" w:rsidP="00720F46">
      <w:pPr>
        <w:pStyle w:val="Heading2"/>
        <w:spacing w:before="240"/>
      </w:pPr>
      <w:r w:rsidRPr="00257B01">
        <w:t xml:space="preserve">International </w:t>
      </w:r>
      <w:r w:rsidR="00471963">
        <w:t>units</w:t>
      </w:r>
    </w:p>
    <w:p w14:paraId="36DA2BA7" w14:textId="77777777" w:rsidR="0020532E" w:rsidRPr="00F3459F" w:rsidRDefault="002A012D" w:rsidP="00F3459F">
      <w:pPr>
        <w:rPr>
          <w:rFonts w:ascii="Calibri" w:hAnsi="Calibri" w:cs="Calibri"/>
          <w:color w:val="4472C4"/>
        </w:rPr>
      </w:pPr>
      <w:r w:rsidRPr="00567D32">
        <w:t>International offsets are not proposed to be part of the initial reforms</w:t>
      </w:r>
      <w:r w:rsidR="00EC2720" w:rsidRPr="00567D32">
        <w:t xml:space="preserve">. </w:t>
      </w:r>
      <w:r w:rsidR="0020532E" w:rsidRPr="00567D32">
        <w:t xml:space="preserve">The </w:t>
      </w:r>
      <w:r w:rsidR="00C3343F" w:rsidRPr="00567D32">
        <w:t>g</w:t>
      </w:r>
      <w:r w:rsidR="0020532E" w:rsidRPr="00567D32">
        <w:t xml:space="preserve">overnment </w:t>
      </w:r>
      <w:r w:rsidR="0020532E">
        <w:t xml:space="preserve">will consult </w:t>
      </w:r>
      <w:r w:rsidR="00DD15E2">
        <w:t xml:space="preserve">in 2023 </w:t>
      </w:r>
      <w:r w:rsidR="0020532E">
        <w:t>on the possibility of establishing the</w:t>
      </w:r>
      <w:r w:rsidR="0020532E" w:rsidRPr="00471963">
        <w:t xml:space="preserve"> legislative framework for international </w:t>
      </w:r>
      <w:r w:rsidR="0020532E">
        <w:t>units. Any such units would have to be of high quality and contribute to Australia’s climate targets.</w:t>
      </w:r>
    </w:p>
    <w:p w14:paraId="6AC98127" w14:textId="77777777" w:rsidR="00E63409" w:rsidRDefault="00E63409" w:rsidP="00E63409">
      <w:pPr>
        <w:pStyle w:val="Heading2"/>
        <w:spacing w:before="240"/>
      </w:pPr>
      <w:r>
        <w:lastRenderedPageBreak/>
        <w:t>Banking and borrowing</w:t>
      </w:r>
    </w:p>
    <w:p w14:paraId="4F6CAD0D" w14:textId="77777777" w:rsidR="0020532E" w:rsidRDefault="0020532E" w:rsidP="004A5133">
      <w:pPr>
        <w:keepLines/>
        <w:rPr>
          <w:lang w:eastAsia="ja-JP"/>
        </w:rPr>
      </w:pPr>
      <w:r>
        <w:rPr>
          <w:lang w:eastAsia="ja-JP"/>
        </w:rPr>
        <w:t xml:space="preserve">Any SMCs issued can be banked—that is, held, </w:t>
      </w:r>
      <w:proofErr w:type="gramStart"/>
      <w:r>
        <w:rPr>
          <w:lang w:eastAsia="ja-JP"/>
        </w:rPr>
        <w:t>surrendered</w:t>
      </w:r>
      <w:proofErr w:type="gramEnd"/>
      <w:r>
        <w:rPr>
          <w:lang w:eastAsia="ja-JP"/>
        </w:rPr>
        <w:t xml:space="preserve"> or traded—up to 2030. Safeguard facilities can borrow</w:t>
      </w:r>
      <w:r w:rsidRPr="00471963">
        <w:rPr>
          <w:lang w:eastAsia="ja-JP"/>
        </w:rPr>
        <w:t xml:space="preserve"> up to 10</w:t>
      </w:r>
      <w:r w:rsidR="0072313D">
        <w:rPr>
          <w:lang w:eastAsia="ja-JP"/>
        </w:rPr>
        <w:t>%</w:t>
      </w:r>
      <w:r w:rsidRPr="00471963">
        <w:rPr>
          <w:lang w:eastAsia="ja-JP"/>
        </w:rPr>
        <w:t xml:space="preserve"> of their baseline each year</w:t>
      </w:r>
      <w:r>
        <w:rPr>
          <w:lang w:eastAsia="ja-JP"/>
        </w:rPr>
        <w:t>, to</w:t>
      </w:r>
      <w:r w:rsidRPr="00471963">
        <w:rPr>
          <w:lang w:eastAsia="ja-JP"/>
        </w:rPr>
        <w:t xml:space="preserve"> be repaid the</w:t>
      </w:r>
      <w:r>
        <w:rPr>
          <w:lang w:eastAsia="ja-JP"/>
        </w:rPr>
        <w:t xml:space="preserve"> following year with 10% interest. Facilities cannot receive SMCs in the year they use borrowing or if they are on a multi-year monitoring period. Post-2030 arrangements </w:t>
      </w:r>
      <w:r w:rsidR="00F62EB3">
        <w:rPr>
          <w:lang w:eastAsia="ja-JP"/>
        </w:rPr>
        <w:t>will</w:t>
      </w:r>
      <w:r>
        <w:rPr>
          <w:lang w:eastAsia="ja-JP"/>
        </w:rPr>
        <w:t xml:space="preserve"> be part of the 2026–27 Safeguard review.</w:t>
      </w:r>
    </w:p>
    <w:p w14:paraId="1737BD8B" w14:textId="77777777" w:rsidR="00E63409" w:rsidRDefault="00E63409" w:rsidP="00E63409">
      <w:pPr>
        <w:pStyle w:val="Heading2"/>
        <w:spacing w:before="240"/>
      </w:pPr>
      <w:r>
        <w:t>Multi-year monitoring</w:t>
      </w:r>
      <w:r w:rsidR="007702C2">
        <w:t xml:space="preserve"> periods</w:t>
      </w:r>
    </w:p>
    <w:p w14:paraId="506F2D99" w14:textId="77777777" w:rsidR="0020532E" w:rsidRDefault="0020532E" w:rsidP="0020532E">
      <w:pPr>
        <w:rPr>
          <w:lang w:eastAsia="ja-JP"/>
        </w:rPr>
      </w:pPr>
      <w:r>
        <w:rPr>
          <w:lang w:eastAsia="ja-JP"/>
        </w:rPr>
        <w:t>To smooth their transition, access to a 5-year multi-year monitoring period</w:t>
      </w:r>
      <w:r w:rsidR="00DC5DCA">
        <w:rPr>
          <w:lang w:eastAsia="ja-JP"/>
        </w:rPr>
        <w:t xml:space="preserve"> to 2030</w:t>
      </w:r>
      <w:r>
        <w:rPr>
          <w:lang w:eastAsia="ja-JP"/>
        </w:rPr>
        <w:t xml:space="preserve"> will be available to facilities that do not have—and can show a lack of—technology to reduce emissions. These facilities will need to show a plan to reduce cumulative emissions before the period ends and will not be eligible for SMCs.</w:t>
      </w:r>
    </w:p>
    <w:p w14:paraId="543537F3" w14:textId="77777777" w:rsidR="00E63409" w:rsidRDefault="00E63409" w:rsidP="00E63409">
      <w:pPr>
        <w:pStyle w:val="Heading2"/>
        <w:spacing w:before="240"/>
      </w:pPr>
      <w:r>
        <w:t>Cost containment measure</w:t>
      </w:r>
    </w:p>
    <w:p w14:paraId="18B0384D" w14:textId="7E5378A6" w:rsidR="00F31C00" w:rsidRPr="00E63409" w:rsidRDefault="00F31C00" w:rsidP="00F31C00">
      <w:pPr>
        <w:rPr>
          <w:lang w:eastAsia="ja-JP"/>
        </w:rPr>
      </w:pPr>
      <w:r>
        <w:rPr>
          <w:lang w:eastAsia="ja-JP"/>
        </w:rPr>
        <w:t>To manage compliance costs</w:t>
      </w:r>
      <w:r w:rsidRPr="0074348F">
        <w:rPr>
          <w:lang w:eastAsia="ja-JP"/>
        </w:rPr>
        <w:t xml:space="preserve">, </w:t>
      </w:r>
      <w:r>
        <w:rPr>
          <w:lang w:eastAsia="ja-JP"/>
        </w:rPr>
        <w:t>the government will sell</w:t>
      </w:r>
      <w:r w:rsidRPr="0074348F">
        <w:rPr>
          <w:lang w:eastAsia="ja-JP"/>
        </w:rPr>
        <w:t xml:space="preserve"> ACCUs </w:t>
      </w:r>
      <w:r>
        <w:rPr>
          <w:lang w:eastAsia="ja-JP"/>
        </w:rPr>
        <w:t>at a fixed price</w:t>
      </w:r>
      <w:r w:rsidRPr="0074348F">
        <w:rPr>
          <w:lang w:eastAsia="ja-JP"/>
        </w:rPr>
        <w:t xml:space="preserve">, </w:t>
      </w:r>
      <w:r>
        <w:rPr>
          <w:lang w:eastAsia="ja-JP"/>
        </w:rPr>
        <w:t>initially at</w:t>
      </w:r>
      <w:r w:rsidRPr="0074348F">
        <w:rPr>
          <w:lang w:eastAsia="ja-JP"/>
        </w:rPr>
        <w:t xml:space="preserve"> $75 </w:t>
      </w:r>
      <w:r>
        <w:rPr>
          <w:lang w:eastAsia="ja-JP"/>
        </w:rPr>
        <w:t xml:space="preserve">per </w:t>
      </w:r>
      <w:r w:rsidRPr="0074348F">
        <w:rPr>
          <w:lang w:eastAsia="ja-JP"/>
        </w:rPr>
        <w:t>tonne</w:t>
      </w:r>
      <w:r w:rsidRPr="00126D3F">
        <w:rPr>
          <w:sz w:val="21"/>
          <w:szCs w:val="21"/>
        </w:rPr>
        <w:t xml:space="preserve"> </w:t>
      </w:r>
      <w:r w:rsidR="0074348F">
        <w:rPr>
          <w:sz w:val="21"/>
          <w:szCs w:val="21"/>
        </w:rPr>
        <w:t xml:space="preserve">of </w:t>
      </w:r>
      <w:r w:rsidRPr="00D91760">
        <w:rPr>
          <w:sz w:val="21"/>
          <w:szCs w:val="21"/>
        </w:rPr>
        <w:t>CO</w:t>
      </w:r>
      <w:r w:rsidRPr="00D91760">
        <w:rPr>
          <w:sz w:val="21"/>
          <w:szCs w:val="21"/>
          <w:vertAlign w:val="subscript"/>
        </w:rPr>
        <w:t>2</w:t>
      </w:r>
      <w:r w:rsidRPr="00D91760">
        <w:rPr>
          <w:sz w:val="21"/>
          <w:szCs w:val="21"/>
        </w:rPr>
        <w:t>e in 2023–24,</w:t>
      </w:r>
      <w:r>
        <w:t xml:space="preserve"> increasing with the CPI plus 2</w:t>
      </w:r>
      <w:r w:rsidR="00C90378">
        <w:t>%</w:t>
      </w:r>
      <w:r>
        <w:t xml:space="preserve"> each year</w:t>
      </w:r>
      <w:r>
        <w:rPr>
          <w:lang w:eastAsia="ja-JP"/>
        </w:rPr>
        <w:t xml:space="preserve">. ACCUs can only be bought by liable entities </w:t>
      </w:r>
      <w:r>
        <w:t>to avoid excess emissions</w:t>
      </w:r>
      <w:r>
        <w:rPr>
          <w:lang w:eastAsia="ja-JP"/>
        </w:rPr>
        <w:t xml:space="preserve"> and will be automatically surrendered for compliance against a current or previous year.</w:t>
      </w:r>
      <w:r w:rsidR="000417DE">
        <w:rPr>
          <w:lang w:eastAsia="ja-JP"/>
        </w:rPr>
        <w:t xml:space="preserve"> </w:t>
      </w:r>
      <w:r w:rsidR="00945E7A">
        <w:t xml:space="preserve">This will prevent excessive price volatility and upside price risk without impeding the development of the offset and SMC market. </w:t>
      </w:r>
    </w:p>
    <w:p w14:paraId="3B6C9F57" w14:textId="77777777" w:rsidR="00B82095" w:rsidRPr="0080517C" w:rsidRDefault="000913B5" w:rsidP="00DE6EB3">
      <w:pPr>
        <w:pStyle w:val="Heading2"/>
      </w:pPr>
      <w:r>
        <w:t>More</w:t>
      </w:r>
      <w:r w:rsidR="00B82095" w:rsidRPr="0080517C">
        <w:t xml:space="preserve"> information</w:t>
      </w:r>
    </w:p>
    <w:p w14:paraId="51299D61" w14:textId="77777777" w:rsidR="00553DE3" w:rsidRDefault="004E622F" w:rsidP="00C3343F">
      <w:r>
        <w:rPr>
          <w:lang w:eastAsia="ja-JP"/>
        </w:rPr>
        <w:t xml:space="preserve">Learn more </w:t>
      </w:r>
      <w:r w:rsidRPr="00DE6EB3">
        <w:rPr>
          <w:lang w:eastAsia="ja-JP"/>
        </w:rPr>
        <w:t xml:space="preserve">about </w:t>
      </w:r>
      <w:r w:rsidRPr="00DE6EB3">
        <w:t xml:space="preserve">the Safeguard Mechanism </w:t>
      </w:r>
      <w:r>
        <w:t>position paper</w:t>
      </w:r>
      <w:r w:rsidRPr="00DE6EB3">
        <w:t xml:space="preserve"> at </w:t>
      </w:r>
      <w:hyperlink r:id="rId12" w:history="1">
        <w:r w:rsidRPr="003114BE">
          <w:rPr>
            <w:rStyle w:val="Hyperlink"/>
            <w:b/>
            <w:bCs/>
          </w:rPr>
          <w:t>https://consult.industry.gov.au/safeguard-mechanism-reform-consultation-paper</w:t>
        </w:r>
      </w:hyperlink>
      <w:r w:rsidR="003114BE" w:rsidRPr="003114BE">
        <w:rPr>
          <w:rStyle w:val="Hyperlink"/>
          <w:b/>
          <w:bCs/>
        </w:rPr>
        <w:t>.</w:t>
      </w:r>
    </w:p>
    <w:sectPr w:rsidR="00553DE3" w:rsidSect="00B2506E">
      <w:headerReference w:type="default" r:id="rId13"/>
      <w:footerReference w:type="default" r:id="rId14"/>
      <w:headerReference w:type="first" r:id="rId15"/>
      <w:footerReference w:type="first" r:id="rId16"/>
      <w:pgSz w:w="11906" w:h="16838" w:code="9"/>
      <w:pgMar w:top="1418" w:right="1247" w:bottom="1134"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963E" w14:textId="77777777" w:rsidR="00A71630" w:rsidRDefault="00A71630">
      <w:r>
        <w:separator/>
      </w:r>
    </w:p>
    <w:p w14:paraId="6480A894" w14:textId="77777777" w:rsidR="00A71630" w:rsidRDefault="00A71630"/>
    <w:p w14:paraId="36D030E0" w14:textId="77777777" w:rsidR="00A71630" w:rsidRDefault="00A71630"/>
  </w:endnote>
  <w:endnote w:type="continuationSeparator" w:id="0">
    <w:p w14:paraId="687AE406" w14:textId="77777777" w:rsidR="00A71630" w:rsidRDefault="00A71630">
      <w:r>
        <w:continuationSeparator/>
      </w:r>
    </w:p>
    <w:p w14:paraId="4D8ABBBB" w14:textId="77777777" w:rsidR="00A71630" w:rsidRDefault="00A71630"/>
    <w:p w14:paraId="5E50D0F2" w14:textId="77777777" w:rsidR="00A71630" w:rsidRDefault="00A71630"/>
  </w:endnote>
  <w:endnote w:type="continuationNotice" w:id="1">
    <w:p w14:paraId="2DA3132A" w14:textId="77777777" w:rsidR="00A71630" w:rsidRDefault="00A71630">
      <w:pPr>
        <w:pStyle w:val="Footer"/>
      </w:pPr>
    </w:p>
    <w:p w14:paraId="64230B58" w14:textId="77777777" w:rsidR="00A71630" w:rsidRDefault="00A71630"/>
    <w:p w14:paraId="2F772E0C" w14:textId="77777777" w:rsidR="00A71630" w:rsidRDefault="00A71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717" w14:textId="77777777" w:rsidR="000542B4" w:rsidRDefault="000542B4" w:rsidP="000542B4">
    <w:pPr>
      <w:pStyle w:val="Footer"/>
    </w:pPr>
    <w:r>
      <w:t xml:space="preserve">Department of </w:t>
    </w:r>
    <w:r w:rsidR="00EC4447">
      <w:t>Climate Change, Energy, the Environment and Water</w:t>
    </w:r>
  </w:p>
  <w:p w14:paraId="53410524" w14:textId="77777777" w:rsidR="000542B4" w:rsidRDefault="00567D3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0417DE">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9558D7E" w14:textId="77777777" w:rsidR="000542B4" w:rsidRDefault="009C37F9" w:rsidP="00EC4447">
        <w:pPr>
          <w:pStyle w:val="Footer"/>
        </w:pPr>
        <w:r w:rsidRPr="007B1F92">
          <w:t xml:space="preserve">Department of </w:t>
        </w:r>
        <w:r w:rsidR="006371B7">
          <w:t>Climate Change, Energy, the Environment and Water</w:t>
        </w:r>
      </w:p>
      <w:p w14:paraId="2221FD02" w14:textId="77777777" w:rsidR="00577F29" w:rsidRDefault="00A77E8E" w:rsidP="00A77E8E">
        <w:pPr>
          <w:pStyle w:val="Footer"/>
        </w:pPr>
        <w:r>
          <w:fldChar w:fldCharType="begin"/>
        </w:r>
        <w:r>
          <w:instrText xml:space="preserve"> PAGE   \* MERGEFORMAT </w:instrText>
        </w:r>
        <w:r>
          <w:fldChar w:fldCharType="separate"/>
        </w:r>
        <w:r w:rsidR="000417D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64BC" w14:textId="77777777" w:rsidR="00A71630" w:rsidRDefault="00A71630">
      <w:r>
        <w:separator/>
      </w:r>
    </w:p>
    <w:p w14:paraId="1930599D" w14:textId="77777777" w:rsidR="00A71630" w:rsidRDefault="00A71630"/>
    <w:p w14:paraId="6EEAA34A" w14:textId="77777777" w:rsidR="00A71630" w:rsidRDefault="00A71630"/>
  </w:footnote>
  <w:footnote w:type="continuationSeparator" w:id="0">
    <w:p w14:paraId="724D2503" w14:textId="77777777" w:rsidR="00A71630" w:rsidRDefault="00A71630">
      <w:r>
        <w:continuationSeparator/>
      </w:r>
    </w:p>
    <w:p w14:paraId="1491D66F" w14:textId="77777777" w:rsidR="00A71630" w:rsidRDefault="00A71630"/>
    <w:p w14:paraId="39DC1AFE" w14:textId="77777777" w:rsidR="00A71630" w:rsidRDefault="00A71630"/>
  </w:footnote>
  <w:footnote w:type="continuationNotice" w:id="1">
    <w:p w14:paraId="5F992755" w14:textId="77777777" w:rsidR="00A71630" w:rsidRDefault="00A71630">
      <w:pPr>
        <w:pStyle w:val="Footer"/>
      </w:pPr>
    </w:p>
    <w:p w14:paraId="1186DA13" w14:textId="77777777" w:rsidR="00A71630" w:rsidRDefault="00A71630"/>
    <w:p w14:paraId="7D68B77B" w14:textId="77777777" w:rsidR="00A71630" w:rsidRDefault="00A71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DE10" w14:textId="77777777" w:rsidR="000542B4" w:rsidRDefault="007230BA">
    <w:pPr>
      <w:pStyle w:val="Header"/>
    </w:pPr>
    <w:r>
      <w:t>Flexibility mechanisms for meeting baselines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7E2B" w14:textId="77777777" w:rsidR="000E455C" w:rsidRDefault="00F21AF4" w:rsidP="00036819">
    <w:pPr>
      <w:pStyle w:val="Footer"/>
      <w:jc w:val="left"/>
    </w:pPr>
    <w:r>
      <w:rPr>
        <w:noProof/>
        <w:lang w:eastAsia="en-AU"/>
      </w:rPr>
      <w:drawing>
        <wp:anchor distT="0" distB="0" distL="114300" distR="114300" simplePos="0" relativeHeight="251658240" behindDoc="0" locked="0" layoutInCell="1" allowOverlap="1" wp14:anchorId="72BBC160" wp14:editId="27F66734">
          <wp:simplePos x="0" y="0"/>
          <wp:positionH relativeFrom="column">
            <wp:posOffset>-786765</wp:posOffset>
          </wp:positionH>
          <wp:positionV relativeFrom="page">
            <wp:posOffset>0</wp:posOffset>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27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A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2282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AB40A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C211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98340D"/>
    <w:multiLevelType w:val="hybridMultilevel"/>
    <w:tmpl w:val="C1B2470A"/>
    <w:lvl w:ilvl="0" w:tplc="A45A7C1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47AAA7EE"/>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47AAA7EE"/>
    <w:numStyleLink w:val="Numberlist"/>
  </w:abstractNum>
  <w:abstractNum w:abstractNumId="18"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E75985"/>
    <w:multiLevelType w:val="hybridMultilevel"/>
    <w:tmpl w:val="DDA0D392"/>
    <w:lvl w:ilvl="0" w:tplc="EC66ACD6">
      <w:start w:val="1"/>
      <w:numFmt w:val="bullet"/>
      <w:lvlText w:val=""/>
      <w:lvlJc w:val="left"/>
      <w:pPr>
        <w:ind w:left="360" w:hanging="360"/>
      </w:pPr>
      <w:rPr>
        <w:rFonts w:ascii="Symbol" w:hAnsi="Symbol" w:hint="default"/>
        <w:sz w:val="24"/>
        <w:szCs w:val="24"/>
      </w:rPr>
    </w:lvl>
    <w:lvl w:ilvl="1" w:tplc="0ACED834">
      <w:start w:val="1"/>
      <w:numFmt w:val="bullet"/>
      <w:lvlText w:val="o"/>
      <w:lvlJc w:val="left"/>
      <w:pPr>
        <w:ind w:left="1080" w:hanging="360"/>
      </w:pPr>
      <w:rPr>
        <w:rFonts w:ascii="Courier New" w:hAnsi="Courier New" w:cs="Courier New" w:hint="default"/>
      </w:rPr>
    </w:lvl>
    <w:lvl w:ilvl="2" w:tplc="D122ABFC">
      <w:start w:val="1"/>
      <w:numFmt w:val="bullet"/>
      <w:lvlText w:val=""/>
      <w:lvlJc w:val="left"/>
      <w:pPr>
        <w:ind w:left="1800" w:hanging="360"/>
      </w:pPr>
      <w:rPr>
        <w:rFonts w:ascii="Wingdings" w:hAnsi="Wingdings" w:hint="default"/>
      </w:rPr>
    </w:lvl>
    <w:lvl w:ilvl="3" w:tplc="976A5564" w:tentative="1">
      <w:start w:val="1"/>
      <w:numFmt w:val="bullet"/>
      <w:lvlText w:val=""/>
      <w:lvlJc w:val="left"/>
      <w:pPr>
        <w:ind w:left="2520" w:hanging="360"/>
      </w:pPr>
      <w:rPr>
        <w:rFonts w:ascii="Symbol" w:hAnsi="Symbol" w:hint="default"/>
      </w:rPr>
    </w:lvl>
    <w:lvl w:ilvl="4" w:tplc="4FE46FA0" w:tentative="1">
      <w:start w:val="1"/>
      <w:numFmt w:val="bullet"/>
      <w:lvlText w:val="o"/>
      <w:lvlJc w:val="left"/>
      <w:pPr>
        <w:ind w:left="3240" w:hanging="360"/>
      </w:pPr>
      <w:rPr>
        <w:rFonts w:ascii="Courier New" w:hAnsi="Courier New" w:cs="Courier New" w:hint="default"/>
      </w:rPr>
    </w:lvl>
    <w:lvl w:ilvl="5" w:tplc="DF1274F0" w:tentative="1">
      <w:start w:val="1"/>
      <w:numFmt w:val="bullet"/>
      <w:lvlText w:val=""/>
      <w:lvlJc w:val="left"/>
      <w:pPr>
        <w:ind w:left="3960" w:hanging="360"/>
      </w:pPr>
      <w:rPr>
        <w:rFonts w:ascii="Wingdings" w:hAnsi="Wingdings" w:hint="default"/>
      </w:rPr>
    </w:lvl>
    <w:lvl w:ilvl="6" w:tplc="7F30D290" w:tentative="1">
      <w:start w:val="1"/>
      <w:numFmt w:val="bullet"/>
      <w:lvlText w:val=""/>
      <w:lvlJc w:val="left"/>
      <w:pPr>
        <w:ind w:left="4680" w:hanging="360"/>
      </w:pPr>
      <w:rPr>
        <w:rFonts w:ascii="Symbol" w:hAnsi="Symbol" w:hint="default"/>
      </w:rPr>
    </w:lvl>
    <w:lvl w:ilvl="7" w:tplc="75DA8FF2" w:tentative="1">
      <w:start w:val="1"/>
      <w:numFmt w:val="bullet"/>
      <w:lvlText w:val="o"/>
      <w:lvlJc w:val="left"/>
      <w:pPr>
        <w:ind w:left="5400" w:hanging="360"/>
      </w:pPr>
      <w:rPr>
        <w:rFonts w:ascii="Courier New" w:hAnsi="Courier New" w:cs="Courier New" w:hint="default"/>
      </w:rPr>
    </w:lvl>
    <w:lvl w:ilvl="8" w:tplc="CAC8FB38" w:tentative="1">
      <w:start w:val="1"/>
      <w:numFmt w:val="bullet"/>
      <w:lvlText w:val=""/>
      <w:lvlJc w:val="left"/>
      <w:pPr>
        <w:ind w:left="612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4F4729"/>
    <w:multiLevelType w:val="multilevel"/>
    <w:tmpl w:val="A0241B28"/>
    <w:numStyleLink w:val="List1"/>
  </w:abstractNum>
  <w:abstractNum w:abstractNumId="23"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F11B6"/>
    <w:multiLevelType w:val="hybridMultilevel"/>
    <w:tmpl w:val="938E127C"/>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47AAA7EE"/>
    <w:numStyleLink w:val="Numberlist"/>
  </w:abstractNum>
  <w:abstractNum w:abstractNumId="2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8" w15:restartNumberingAfterBreak="0">
    <w:nsid w:val="622B48DC"/>
    <w:multiLevelType w:val="hybridMultilevel"/>
    <w:tmpl w:val="B7189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15:restartNumberingAfterBreak="0">
    <w:nsid w:val="6B514E4C"/>
    <w:multiLevelType w:val="hybridMultilevel"/>
    <w:tmpl w:val="EAB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8C10A1"/>
    <w:multiLevelType w:val="multilevel"/>
    <w:tmpl w:val="47AAA7EE"/>
    <w:numStyleLink w:val="Numberlist"/>
  </w:abstractNum>
  <w:abstractNum w:abstractNumId="43" w15:restartNumberingAfterBreak="0">
    <w:nsid w:val="733934B7"/>
    <w:multiLevelType w:val="multilevel"/>
    <w:tmpl w:val="A0241B28"/>
    <w:numStyleLink w:val="List1"/>
  </w:abstractNum>
  <w:num w:numId="1">
    <w:abstractNumId w:val="7"/>
  </w:num>
  <w:num w:numId="2">
    <w:abstractNumId w:val="25"/>
  </w:num>
  <w:num w:numId="3">
    <w:abstractNumId w:val="26"/>
  </w:num>
  <w:num w:numId="4">
    <w:abstractNumId w:val="13"/>
  </w:num>
  <w:num w:numId="5">
    <w:abstractNumId w:val="35"/>
  </w:num>
  <w:num w:numId="6">
    <w:abstractNumId w:val="36"/>
  </w:num>
  <w:num w:numId="7">
    <w:abstractNumId w:val="9"/>
  </w:num>
  <w:num w:numId="8">
    <w:abstractNumId w:val="16"/>
  </w:num>
  <w:num w:numId="9">
    <w:abstractNumId w:val="20"/>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4"/>
  </w:num>
  <w:num w:numId="14">
    <w:abstractNumId w:val="3"/>
  </w:num>
  <w:num w:numId="15">
    <w:abstractNumId w:val="14"/>
  </w:num>
  <w:num w:numId="16">
    <w:abstractNumId w:val="3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
  </w:num>
  <w:num w:numId="20">
    <w:abstractNumId w:val="0"/>
  </w:num>
  <w:num w:numId="21">
    <w:abstractNumId w:val="17"/>
  </w:num>
  <w:num w:numId="22">
    <w:abstractNumId w:val="27"/>
  </w:num>
  <w:num w:numId="23">
    <w:abstractNumId w:val="42"/>
  </w:num>
  <w:num w:numId="24">
    <w:abstractNumId w:val="15"/>
    <w:lvlOverride w:ilvl="0">
      <w:lvl w:ilvl="0">
        <w:start w:val="1"/>
        <w:numFmt w:val="decimal"/>
        <w:pStyle w:val="ListNumber"/>
        <w:lvlText w:val="%1)"/>
        <w:lvlJc w:val="left"/>
        <w:pPr>
          <w:ind w:left="2487" w:hanging="360"/>
        </w:pPr>
      </w:lvl>
    </w:lvlOverride>
    <w:lvlOverride w:ilvl="1">
      <w:lvl w:ilvl="1">
        <w:start w:val="1"/>
        <w:numFmt w:val="lowerLetter"/>
        <w:pStyle w:val="ListNumber2"/>
        <w:lvlText w:val="%2."/>
        <w:lvlJc w:val="left"/>
        <w:pPr>
          <w:ind w:left="1080" w:hanging="360"/>
        </w:pPr>
      </w:lvl>
    </w:lvlOverride>
    <w:lvlOverride w:ilvl="2">
      <w:lvl w:ilvl="2">
        <w:start w:val="1"/>
        <w:numFmt w:val="lowerRoman"/>
        <w:pStyle w:val="ListNumber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9"/>
  </w:num>
  <w:num w:numId="29">
    <w:abstractNumId w:val="34"/>
  </w:num>
  <w:num w:numId="30">
    <w:abstractNumId w:val="12"/>
  </w:num>
  <w:num w:numId="31">
    <w:abstractNumId w:val="37"/>
  </w:num>
  <w:num w:numId="32">
    <w:abstractNumId w:val="8"/>
  </w:num>
  <w:num w:numId="33">
    <w:abstractNumId w:val="31"/>
  </w:num>
  <w:num w:numId="34">
    <w:abstractNumId w:val="28"/>
  </w:num>
  <w:num w:numId="35">
    <w:abstractNumId w:val="18"/>
  </w:num>
  <w:num w:numId="36">
    <w:abstractNumId w:val="10"/>
  </w:num>
  <w:num w:numId="37">
    <w:abstractNumId w:val="21"/>
  </w:num>
  <w:num w:numId="38">
    <w:abstractNumId w:val="23"/>
  </w:num>
  <w:num w:numId="39">
    <w:abstractNumId w:val="15"/>
  </w:num>
  <w:num w:numId="40">
    <w:abstractNumId w:val="30"/>
  </w:num>
  <w:num w:numId="41">
    <w:abstractNumId w:val="32"/>
  </w:num>
  <w:num w:numId="42">
    <w:abstractNumId w:val="24"/>
  </w:num>
  <w:num w:numId="43">
    <w:abstractNumId w:val="40"/>
  </w:num>
  <w:num w:numId="44">
    <w:abstractNumId w:val="2"/>
  </w:num>
  <w:num w:numId="45">
    <w:abstractNumId w:val="15"/>
  </w:num>
  <w:num w:numId="46">
    <w:abstractNumId w:val="11"/>
  </w:num>
  <w:num w:numId="47">
    <w:abstractNumId w:val="19"/>
  </w:num>
  <w:num w:numId="48">
    <w:abstractNumId w:val="41"/>
  </w:num>
  <w:num w:numId="4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75"/>
    <w:rsid w:val="0000059E"/>
    <w:rsid w:val="0000066F"/>
    <w:rsid w:val="00011086"/>
    <w:rsid w:val="00021590"/>
    <w:rsid w:val="00025D1B"/>
    <w:rsid w:val="000266C4"/>
    <w:rsid w:val="00036819"/>
    <w:rsid w:val="000417DE"/>
    <w:rsid w:val="000520BD"/>
    <w:rsid w:val="000542B4"/>
    <w:rsid w:val="000602EC"/>
    <w:rsid w:val="000618F3"/>
    <w:rsid w:val="00066D0B"/>
    <w:rsid w:val="000717D2"/>
    <w:rsid w:val="00074A56"/>
    <w:rsid w:val="00080827"/>
    <w:rsid w:val="0008277A"/>
    <w:rsid w:val="000904C1"/>
    <w:rsid w:val="000913B5"/>
    <w:rsid w:val="000A0DD7"/>
    <w:rsid w:val="000A5BA0"/>
    <w:rsid w:val="000B3924"/>
    <w:rsid w:val="000B3C44"/>
    <w:rsid w:val="000C0412"/>
    <w:rsid w:val="000C4558"/>
    <w:rsid w:val="000C5ECE"/>
    <w:rsid w:val="000D702A"/>
    <w:rsid w:val="000E455C"/>
    <w:rsid w:val="000E58F3"/>
    <w:rsid w:val="000E7803"/>
    <w:rsid w:val="000F0491"/>
    <w:rsid w:val="00100A15"/>
    <w:rsid w:val="00115341"/>
    <w:rsid w:val="001233A8"/>
    <w:rsid w:val="0013173D"/>
    <w:rsid w:val="00155907"/>
    <w:rsid w:val="00190D7E"/>
    <w:rsid w:val="001929D2"/>
    <w:rsid w:val="001A14AE"/>
    <w:rsid w:val="001A2D54"/>
    <w:rsid w:val="001A6968"/>
    <w:rsid w:val="001B4C5D"/>
    <w:rsid w:val="001C2FBA"/>
    <w:rsid w:val="001D0EF3"/>
    <w:rsid w:val="001D6373"/>
    <w:rsid w:val="001F30E9"/>
    <w:rsid w:val="001F6C6E"/>
    <w:rsid w:val="00203DE1"/>
    <w:rsid w:val="0020532E"/>
    <w:rsid w:val="00220618"/>
    <w:rsid w:val="00227598"/>
    <w:rsid w:val="00237A69"/>
    <w:rsid w:val="00241BFB"/>
    <w:rsid w:val="00257B01"/>
    <w:rsid w:val="002716CE"/>
    <w:rsid w:val="00275B58"/>
    <w:rsid w:val="00284B53"/>
    <w:rsid w:val="00287BAC"/>
    <w:rsid w:val="002A012D"/>
    <w:rsid w:val="002B1FAF"/>
    <w:rsid w:val="002B3A22"/>
    <w:rsid w:val="002E3FD4"/>
    <w:rsid w:val="002F4595"/>
    <w:rsid w:val="002F7FF9"/>
    <w:rsid w:val="00300AFD"/>
    <w:rsid w:val="00302237"/>
    <w:rsid w:val="003032C0"/>
    <w:rsid w:val="003114BE"/>
    <w:rsid w:val="00335675"/>
    <w:rsid w:val="00336B60"/>
    <w:rsid w:val="00337940"/>
    <w:rsid w:val="00341114"/>
    <w:rsid w:val="0035108D"/>
    <w:rsid w:val="003569F9"/>
    <w:rsid w:val="00361F89"/>
    <w:rsid w:val="00366721"/>
    <w:rsid w:val="00370990"/>
    <w:rsid w:val="0037698A"/>
    <w:rsid w:val="00392124"/>
    <w:rsid w:val="003937B8"/>
    <w:rsid w:val="003A6700"/>
    <w:rsid w:val="003C35C2"/>
    <w:rsid w:val="003C4DE2"/>
    <w:rsid w:val="003D7ECB"/>
    <w:rsid w:val="003E5BE6"/>
    <w:rsid w:val="003F73D7"/>
    <w:rsid w:val="00411260"/>
    <w:rsid w:val="00442630"/>
    <w:rsid w:val="0044304D"/>
    <w:rsid w:val="00446CB3"/>
    <w:rsid w:val="00471963"/>
    <w:rsid w:val="00471F82"/>
    <w:rsid w:val="00474BB1"/>
    <w:rsid w:val="0049255C"/>
    <w:rsid w:val="00495045"/>
    <w:rsid w:val="00495068"/>
    <w:rsid w:val="004A14CF"/>
    <w:rsid w:val="004A5133"/>
    <w:rsid w:val="004B0D67"/>
    <w:rsid w:val="004C1A61"/>
    <w:rsid w:val="004C2DA2"/>
    <w:rsid w:val="004D0888"/>
    <w:rsid w:val="004D08E0"/>
    <w:rsid w:val="004D41BE"/>
    <w:rsid w:val="004D72F0"/>
    <w:rsid w:val="004E21DE"/>
    <w:rsid w:val="004E221A"/>
    <w:rsid w:val="004E50B9"/>
    <w:rsid w:val="004E622F"/>
    <w:rsid w:val="005019C1"/>
    <w:rsid w:val="00503E8C"/>
    <w:rsid w:val="00515287"/>
    <w:rsid w:val="005157CF"/>
    <w:rsid w:val="00530FD5"/>
    <w:rsid w:val="00531B5A"/>
    <w:rsid w:val="0053773F"/>
    <w:rsid w:val="005457EA"/>
    <w:rsid w:val="00553DE3"/>
    <w:rsid w:val="00553E9D"/>
    <w:rsid w:val="0055447F"/>
    <w:rsid w:val="00567D32"/>
    <w:rsid w:val="00567DFC"/>
    <w:rsid w:val="00577F29"/>
    <w:rsid w:val="005A48A6"/>
    <w:rsid w:val="005B613F"/>
    <w:rsid w:val="005C2BFD"/>
    <w:rsid w:val="005C72BF"/>
    <w:rsid w:val="005E7A0C"/>
    <w:rsid w:val="00607323"/>
    <w:rsid w:val="00607A21"/>
    <w:rsid w:val="00607A36"/>
    <w:rsid w:val="006156DF"/>
    <w:rsid w:val="00625D8D"/>
    <w:rsid w:val="00627D76"/>
    <w:rsid w:val="006360F9"/>
    <w:rsid w:val="006371B7"/>
    <w:rsid w:val="00642F36"/>
    <w:rsid w:val="00646917"/>
    <w:rsid w:val="00656587"/>
    <w:rsid w:val="00660B1A"/>
    <w:rsid w:val="00687EBF"/>
    <w:rsid w:val="00696682"/>
    <w:rsid w:val="006B0030"/>
    <w:rsid w:val="006D413F"/>
    <w:rsid w:val="006E7821"/>
    <w:rsid w:val="006F6FE8"/>
    <w:rsid w:val="00702D0D"/>
    <w:rsid w:val="0070464B"/>
    <w:rsid w:val="00716145"/>
    <w:rsid w:val="00720F46"/>
    <w:rsid w:val="00721291"/>
    <w:rsid w:val="007230BA"/>
    <w:rsid w:val="0072313D"/>
    <w:rsid w:val="007258B1"/>
    <w:rsid w:val="00725C8B"/>
    <w:rsid w:val="0073307F"/>
    <w:rsid w:val="0074348F"/>
    <w:rsid w:val="00754CA3"/>
    <w:rsid w:val="00756375"/>
    <w:rsid w:val="0076549B"/>
    <w:rsid w:val="007702C2"/>
    <w:rsid w:val="007902D2"/>
    <w:rsid w:val="00792E27"/>
    <w:rsid w:val="00793E18"/>
    <w:rsid w:val="00796A9E"/>
    <w:rsid w:val="007C0010"/>
    <w:rsid w:val="007D40F4"/>
    <w:rsid w:val="007E69AF"/>
    <w:rsid w:val="0080517C"/>
    <w:rsid w:val="00821D73"/>
    <w:rsid w:val="00832638"/>
    <w:rsid w:val="00863F35"/>
    <w:rsid w:val="00865130"/>
    <w:rsid w:val="00867645"/>
    <w:rsid w:val="00892F53"/>
    <w:rsid w:val="00895341"/>
    <w:rsid w:val="008E3B54"/>
    <w:rsid w:val="008F1712"/>
    <w:rsid w:val="008F382A"/>
    <w:rsid w:val="00902E92"/>
    <w:rsid w:val="00907246"/>
    <w:rsid w:val="0090743D"/>
    <w:rsid w:val="00911F4A"/>
    <w:rsid w:val="00916FC3"/>
    <w:rsid w:val="00921782"/>
    <w:rsid w:val="0093092B"/>
    <w:rsid w:val="00943779"/>
    <w:rsid w:val="00945E7A"/>
    <w:rsid w:val="00970743"/>
    <w:rsid w:val="00974CD6"/>
    <w:rsid w:val="00983B2D"/>
    <w:rsid w:val="009844EA"/>
    <w:rsid w:val="00992453"/>
    <w:rsid w:val="0099578A"/>
    <w:rsid w:val="009C206F"/>
    <w:rsid w:val="009C37F9"/>
    <w:rsid w:val="009C3FA3"/>
    <w:rsid w:val="009C5CE4"/>
    <w:rsid w:val="009D7044"/>
    <w:rsid w:val="009F7665"/>
    <w:rsid w:val="00A022A9"/>
    <w:rsid w:val="00A04AFD"/>
    <w:rsid w:val="00A130F7"/>
    <w:rsid w:val="00A16CEF"/>
    <w:rsid w:val="00A32860"/>
    <w:rsid w:val="00A62F99"/>
    <w:rsid w:val="00A65D84"/>
    <w:rsid w:val="00A71630"/>
    <w:rsid w:val="00A77E8E"/>
    <w:rsid w:val="00A8157A"/>
    <w:rsid w:val="00AA1D89"/>
    <w:rsid w:val="00AB4FFE"/>
    <w:rsid w:val="00AE1E6E"/>
    <w:rsid w:val="00AE4763"/>
    <w:rsid w:val="00B0121B"/>
    <w:rsid w:val="00B0455B"/>
    <w:rsid w:val="00B11E02"/>
    <w:rsid w:val="00B2506E"/>
    <w:rsid w:val="00B3476F"/>
    <w:rsid w:val="00B35481"/>
    <w:rsid w:val="00B43568"/>
    <w:rsid w:val="00B56D03"/>
    <w:rsid w:val="00B6034A"/>
    <w:rsid w:val="00B62254"/>
    <w:rsid w:val="00B82095"/>
    <w:rsid w:val="00B90975"/>
    <w:rsid w:val="00B90C93"/>
    <w:rsid w:val="00B93571"/>
    <w:rsid w:val="00B94CBD"/>
    <w:rsid w:val="00B955B0"/>
    <w:rsid w:val="00BA2806"/>
    <w:rsid w:val="00BC28E9"/>
    <w:rsid w:val="00BC321A"/>
    <w:rsid w:val="00BD4F8E"/>
    <w:rsid w:val="00BE345B"/>
    <w:rsid w:val="00BF1A2A"/>
    <w:rsid w:val="00BF38D4"/>
    <w:rsid w:val="00C15ADC"/>
    <w:rsid w:val="00C21768"/>
    <w:rsid w:val="00C3343F"/>
    <w:rsid w:val="00C37604"/>
    <w:rsid w:val="00C6128D"/>
    <w:rsid w:val="00C73278"/>
    <w:rsid w:val="00C765C8"/>
    <w:rsid w:val="00C77357"/>
    <w:rsid w:val="00C800D7"/>
    <w:rsid w:val="00C82029"/>
    <w:rsid w:val="00C843B8"/>
    <w:rsid w:val="00C90378"/>
    <w:rsid w:val="00C9283A"/>
    <w:rsid w:val="00C95039"/>
    <w:rsid w:val="00CA4615"/>
    <w:rsid w:val="00CA7C6F"/>
    <w:rsid w:val="00CD3A6F"/>
    <w:rsid w:val="00CD6263"/>
    <w:rsid w:val="00CE7F36"/>
    <w:rsid w:val="00CF373A"/>
    <w:rsid w:val="00CF7D08"/>
    <w:rsid w:val="00D04A3C"/>
    <w:rsid w:val="00D069EC"/>
    <w:rsid w:val="00D07C94"/>
    <w:rsid w:val="00D209A7"/>
    <w:rsid w:val="00D22097"/>
    <w:rsid w:val="00D36C41"/>
    <w:rsid w:val="00D4039B"/>
    <w:rsid w:val="00D47D00"/>
    <w:rsid w:val="00D55A85"/>
    <w:rsid w:val="00D750D0"/>
    <w:rsid w:val="00D76C8D"/>
    <w:rsid w:val="00D82E04"/>
    <w:rsid w:val="00D87480"/>
    <w:rsid w:val="00DB2F2B"/>
    <w:rsid w:val="00DB71FD"/>
    <w:rsid w:val="00DC453F"/>
    <w:rsid w:val="00DC57F0"/>
    <w:rsid w:val="00DC5DCA"/>
    <w:rsid w:val="00DD15E2"/>
    <w:rsid w:val="00DE546F"/>
    <w:rsid w:val="00DE6EB3"/>
    <w:rsid w:val="00DF241E"/>
    <w:rsid w:val="00E06314"/>
    <w:rsid w:val="00E25A07"/>
    <w:rsid w:val="00E27A09"/>
    <w:rsid w:val="00E333DF"/>
    <w:rsid w:val="00E37D92"/>
    <w:rsid w:val="00E44E91"/>
    <w:rsid w:val="00E57595"/>
    <w:rsid w:val="00E63409"/>
    <w:rsid w:val="00E6503C"/>
    <w:rsid w:val="00E83C41"/>
    <w:rsid w:val="00E9530D"/>
    <w:rsid w:val="00E9781D"/>
    <w:rsid w:val="00EA5D76"/>
    <w:rsid w:val="00EB4E45"/>
    <w:rsid w:val="00EC16DB"/>
    <w:rsid w:val="00EC2720"/>
    <w:rsid w:val="00EC2925"/>
    <w:rsid w:val="00EC4447"/>
    <w:rsid w:val="00EC5579"/>
    <w:rsid w:val="00EC5C40"/>
    <w:rsid w:val="00ED3D13"/>
    <w:rsid w:val="00ED774B"/>
    <w:rsid w:val="00EE0118"/>
    <w:rsid w:val="00EE49CE"/>
    <w:rsid w:val="00EE7C8D"/>
    <w:rsid w:val="00EF24B1"/>
    <w:rsid w:val="00EF3918"/>
    <w:rsid w:val="00F21AF4"/>
    <w:rsid w:val="00F25175"/>
    <w:rsid w:val="00F31C00"/>
    <w:rsid w:val="00F330C3"/>
    <w:rsid w:val="00F3459F"/>
    <w:rsid w:val="00F40745"/>
    <w:rsid w:val="00F62EB3"/>
    <w:rsid w:val="00F728BB"/>
    <w:rsid w:val="00F75F33"/>
    <w:rsid w:val="00F84236"/>
    <w:rsid w:val="00F9536E"/>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8B6CC0"/>
  <w15:docId w15:val="{4558C6D5-8277-4F32-AAE8-DC8D0AEE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B2506E"/>
    <w:pPr>
      <w:widowControl w:val="0"/>
      <w:spacing w:before="360" w:after="240"/>
      <w:contextualSpacing/>
      <w:outlineLvl w:val="0"/>
    </w:pPr>
    <w:rPr>
      <w:rFonts w:ascii="Calibri" w:eastAsiaTheme="minorHAnsi" w:hAnsi="Calibri" w:cstheme="minorBidi"/>
      <w:b/>
      <w:bCs/>
      <w:color w:val="083A42" w:themeColor="text1"/>
      <w:spacing w:val="5"/>
      <w:kern w:val="28"/>
      <w:sz w:val="40"/>
      <w:szCs w:val="28"/>
      <w:lang w:eastAsia="en-US"/>
    </w:rPr>
  </w:style>
  <w:style w:type="paragraph" w:styleId="Heading2">
    <w:name w:val="heading 2"/>
    <w:basedOn w:val="Normal"/>
    <w:next w:val="Normal"/>
    <w:link w:val="Heading2Char"/>
    <w:uiPriority w:val="3"/>
    <w:qFormat/>
    <w:rsid w:val="00B2506E"/>
    <w:pPr>
      <w:keepNext/>
      <w:spacing w:before="120" w:line="240" w:lineRule="auto"/>
      <w:ind w:left="720" w:hanging="720"/>
      <w:outlineLvl w:val="1"/>
    </w:pPr>
    <w:rPr>
      <w:rFonts w:ascii="Calibri" w:eastAsiaTheme="minorEastAsia" w:hAnsi="Calibri"/>
      <w:b/>
      <w:bCs/>
      <w:color w:val="197C7D" w:themeColor="text2"/>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2506E"/>
    <w:rPr>
      <w:rFonts w:ascii="Calibri" w:eastAsiaTheme="minorHAnsi" w:hAnsi="Calibri" w:cstheme="minorBidi"/>
      <w:b/>
      <w:bCs/>
      <w:color w:val="083A42" w:themeColor="text1"/>
      <w:spacing w:val="5"/>
      <w:kern w:val="28"/>
      <w:sz w:val="40"/>
      <w:szCs w:val="28"/>
      <w:lang w:eastAsia="en-US"/>
    </w:rPr>
  </w:style>
  <w:style w:type="character" w:customStyle="1" w:styleId="Heading2Char">
    <w:name w:val="Heading 2 Char"/>
    <w:basedOn w:val="DefaultParagraphFont"/>
    <w:link w:val="Heading2"/>
    <w:uiPriority w:val="3"/>
    <w:rsid w:val="00B2506E"/>
    <w:rPr>
      <w:rFonts w:ascii="Calibri" w:eastAsiaTheme="minorEastAsia" w:hAnsi="Calibri" w:cstheme="minorBidi"/>
      <w:b/>
      <w:bCs/>
      <w:color w:val="197C7D" w:themeColor="text2"/>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45"/>
      </w:numPr>
      <w:tabs>
        <w:tab w:val="left" w:pos="142"/>
      </w:tabs>
      <w:spacing w:before="120"/>
    </w:pPr>
  </w:style>
  <w:style w:type="paragraph" w:styleId="ListNumber2">
    <w:name w:val="List Number 2"/>
    <w:uiPriority w:val="10"/>
    <w:qFormat/>
    <w:rsid w:val="00241BFB"/>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16"/>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customStyle="1" w:styleId="UnresolvedMention1">
    <w:name w:val="Unresolved Mention1"/>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45"/>
      </w:numPr>
      <w:spacing w:before="120" w:after="120" w:line="264" w:lineRule="auto"/>
      <w:ind w:left="1247"/>
    </w:pPr>
    <w:rPr>
      <w:rFonts w:asciiTheme="minorHAnsi" w:eastAsia="Times New Roman" w:hAnsiTheme="minorHAnsi"/>
      <w:sz w:val="22"/>
      <w:szCs w:val="24"/>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71963"/>
    <w:pPr>
      <w:tabs>
        <w:tab w:val="left" w:pos="284"/>
      </w:tabs>
      <w:spacing w:line="240" w:lineRule="auto"/>
      <w:ind w:left="720"/>
      <w:contextualSpacing/>
    </w:pPr>
    <w:rPr>
      <w:rFonts w:ascii="Calibri" w:eastAsia="Calibri" w:hAnsi="Calibri" w:cs="Times New Roma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7230B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846251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10472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sult.industry.gov.au/safeguard-mechanism-reform-consultation-pap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crediting</TermName>
          <TermId xmlns="http://schemas.microsoft.com/office/infopath/2007/PartnerControls">00576b4e-e03d-4913-9420-b79dff5234be</TermId>
        </TermInfo>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TaxCatchAll xmlns="a36bd50b-1532-4c22-b385-5c082c960938">
      <Value>234</Value>
      <Value>1390</Value>
      <Value>536</Value>
      <Value>295</Value>
      <Value>378</Value>
      <Value>3</Value>
    </TaxCatchAll>
    <Comments xmlns="http://schemas.microsoft.com/sharepoint/v3">Cleared by office
</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5ED8A-F8FD-45FB-BDBF-48BD4049E976}">
  <ds:schemaRefs>
    <ds:schemaRef ds:uri="http://schemas.microsoft.com/sharepoint/events"/>
  </ds:schemaRefs>
</ds:datastoreItem>
</file>

<file path=customXml/itemProps2.xml><?xml version="1.0" encoding="utf-8"?>
<ds:datastoreItem xmlns:ds="http://schemas.openxmlformats.org/officeDocument/2006/customXml" ds:itemID="{EA9EF414-11B5-4A7A-8F78-6F26627F1746}">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8c4c6479-bb6a-4263-8159-fbb0afc5d491"/>
    <ds:schemaRef ds:uri="http://schemas.openxmlformats.org/package/2006/metadata/core-properties"/>
    <ds:schemaRef ds:uri="http://schemas.microsoft.com/sharepoint/v3"/>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4"/>
    <ds:schemaRef ds:uri="a36bd50b-1532-4c22-b385-5c082c960938"/>
  </ds:schemaRefs>
</ds:datastoreItem>
</file>

<file path=customXml/itemProps5.xml><?xml version="1.0" encoding="utf-8"?>
<ds:datastoreItem xmlns:ds="http://schemas.openxmlformats.org/officeDocument/2006/customXml" ds:itemID="{3BB8ED3E-1478-4029-B618-2C5DCB42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Factsheet - Carbon Offsets</vt:lpstr>
    </vt:vector>
  </TitlesOfParts>
  <Company/>
  <LinksUpToDate>false</LinksUpToDate>
  <CharactersWithSpaces>3777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Carbon Offsets</dc:title>
  <dc:creator>Wood, Peter</dc:creator>
  <cp:lastModifiedBy>Jones, Kayleigh</cp:lastModifiedBy>
  <cp:revision>8</cp:revision>
  <cp:lastPrinted>2023-01-04T22:44:00Z</cp:lastPrinted>
  <dcterms:created xsi:type="dcterms:W3CDTF">2023-01-08T22:59:00Z</dcterms:created>
  <dcterms:modified xsi:type="dcterms:W3CDTF">2023-01-09T21:46:00Z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1390;#2022|4a777a70-2aa9-481e-a746-cca47d761c8e</vt:lpwstr>
  </property>
  <property fmtid="{D5CDD505-2E9C-101B-9397-08002B2CF9AE}" pid="4" name="DocHub_DocumentType">
    <vt:lpwstr>378;#Fact Sheet|38af007d-6d80-4dd0-9833-ef17489d7c7e</vt:lpwstr>
  </property>
  <property fmtid="{D5CDD505-2E9C-101B-9397-08002B2CF9AE}" pid="5" name="DocHub_SecurityClassification">
    <vt:lpwstr>3;#OFFICIAL|6106d03b-a1a0-4e30-9d91-d5e9fb4314f9</vt:lpwstr>
  </property>
  <property fmtid="{D5CDD505-2E9C-101B-9397-08002B2CF9AE}" pid="6" name="DocHub_Keywords">
    <vt:lpwstr>536;#Safeguard crediting|00576b4e-e03d-4913-9420-b79dff5234be;#234;#Safeguard Mechanism|462066da-c297-4969-b9e8-878ecfcc0dda</vt:lpwstr>
  </property>
  <property fmtid="{D5CDD505-2E9C-101B-9397-08002B2CF9AE}" pid="7" name="DocHub_WorkActivity">
    <vt:lpwstr>295;#Communication|cd41d649-1e1a-44f5-b99b-946d42ce56d6</vt:lpwstr>
  </property>
</Properties>
</file>